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r w:rsidDel="00000000" w:rsidR="00000000" w:rsidRPr="00000000">
        <w:rPr>
          <w:b w:val="1"/>
          <w:sz w:val="26"/>
          <w:szCs w:val="26"/>
          <w:u w:val="single"/>
          <w:rtl w:val="0"/>
        </w:rPr>
        <w:t xml:space="preserve">Repertoire Guidelines</w:t>
      </w:r>
    </w:p>
    <w:p w:rsidR="00000000" w:rsidDel="00000000" w:rsidP="00000000" w:rsidRDefault="00000000" w:rsidRPr="00000000" w14:paraId="00000002">
      <w:pPr>
        <w:jc w:val="center"/>
        <w:rPr>
          <w:b w:val="1"/>
          <w:sz w:val="26"/>
          <w:szCs w:val="26"/>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Marsha Wright Sonatina Festival is held every year to celebrate the sonatina form and the incredible range of expressive possibilities that can be explored in its brief, unassuming form.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Accepted repertoire:</w:t>
      </w:r>
    </w:p>
    <w:p w:rsidR="00000000" w:rsidDel="00000000" w:rsidP="00000000" w:rsidRDefault="00000000" w:rsidRPr="00000000" w14:paraId="00000006">
      <w:pPr>
        <w:rPr>
          <w:i w:val="1"/>
        </w:rPr>
      </w:pPr>
      <w:r w:rsidDel="00000000" w:rsidR="00000000" w:rsidRPr="00000000">
        <w:rPr>
          <w:rtl w:val="0"/>
        </w:rPr>
        <w:t xml:space="preserve">W</w:t>
      </w:r>
      <w:r w:rsidDel="00000000" w:rsidR="00000000" w:rsidRPr="00000000">
        <w:rPr>
          <w:rtl w:val="0"/>
        </w:rPr>
        <w:t xml:space="preserve">e welcome any composition entitled  “Sonatina”/”Sonatine” and encourage students and teachers to help us traverse the whole breadth of the sonatina repertoire from all styles and periods, including works written for solo piano, duets, as well as other instruments and ensembles.   </w:t>
      </w: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Excluded repertoire:</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We cannot program any full-fledged sonatas, however, as they are beyond the scope of this event.</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Rondos, variations, and other stand-alone pieces that are </w:t>
      </w:r>
      <w:r w:rsidDel="00000000" w:rsidR="00000000" w:rsidRPr="00000000">
        <w:rPr>
          <w:i w:val="1"/>
          <w:rtl w:val="0"/>
        </w:rPr>
        <w:t xml:space="preserve">not</w:t>
      </w:r>
      <w:r w:rsidDel="00000000" w:rsidR="00000000" w:rsidRPr="00000000">
        <w:rPr>
          <w:rtl w:val="0"/>
        </w:rPr>
        <w:t xml:space="preserve"> part of a sonatina will not be accepted.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b w:val="1"/>
          <w:u w:val="single"/>
          <w:rtl w:val="0"/>
        </w:rPr>
        <w:t xml:space="preserve">Exceptions: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following “sonatas” are acceptable and welcome at the Festival, as they largely exhibit the essential qualities of a sonatina, despite their varying nomenclatures: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4"/>
        </w:numPr>
        <w:ind w:left="720" w:hanging="360"/>
        <w:rPr>
          <w:b w:val="1"/>
          <w:u w:val="none"/>
        </w:rPr>
      </w:pPr>
      <w:r w:rsidDel="00000000" w:rsidR="00000000" w:rsidRPr="00000000">
        <w:rPr>
          <w:b w:val="1"/>
          <w:rtl w:val="0"/>
        </w:rPr>
        <w:t xml:space="preserve">Haydn: Keyboard “Divertimenti” </w:t>
      </w:r>
    </w:p>
    <w:p w:rsidR="00000000" w:rsidDel="00000000" w:rsidP="00000000" w:rsidRDefault="00000000" w:rsidRPr="00000000" w14:paraId="00000010">
      <w:pPr>
        <w:ind w:left="720" w:firstLine="0"/>
        <w:rPr/>
      </w:pPr>
      <w:r w:rsidDel="00000000" w:rsidR="00000000" w:rsidRPr="00000000">
        <w:rPr>
          <w:rtl w:val="0"/>
        </w:rPr>
        <w:t xml:space="preserve">Various earlier multi-movement keyboard works, sometimes interchangeably referred to as “Sonatas” or “Divertimenti,” will be accepted.  In general, these shorter pieces account for roughly the first dozen-or-so works cataloged in the Hoboken category “Hob. XVI.”  Please double check with the Festival chairs if you are interested in entering a student playing one of these for approval of a specific work.</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3"/>
        </w:numPr>
        <w:ind w:left="720" w:hanging="360"/>
        <w:rPr>
          <w:b w:val="1"/>
          <w:u w:val="none"/>
        </w:rPr>
      </w:pPr>
      <w:r w:rsidDel="00000000" w:rsidR="00000000" w:rsidRPr="00000000">
        <w:rPr>
          <w:b w:val="1"/>
          <w:rtl w:val="0"/>
        </w:rPr>
        <w:t xml:space="preserve">Mozart</w:t>
      </w:r>
    </w:p>
    <w:p w:rsidR="00000000" w:rsidDel="00000000" w:rsidP="00000000" w:rsidRDefault="00000000" w:rsidRPr="00000000" w14:paraId="00000013">
      <w:pPr>
        <w:ind w:left="720" w:firstLine="0"/>
        <w:rPr/>
      </w:pPr>
      <w:r w:rsidDel="00000000" w:rsidR="00000000" w:rsidRPr="00000000">
        <w:rPr>
          <w:rtl w:val="0"/>
        </w:rPr>
        <w:t xml:space="preserve">Piano S</w:t>
      </w:r>
      <w:r w:rsidDel="00000000" w:rsidR="00000000" w:rsidRPr="00000000">
        <w:rPr>
          <w:rtl w:val="0"/>
        </w:rPr>
        <w:t xml:space="preserve">onata in C, K.545 (“Sonata facile”)</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2"/>
        </w:numPr>
        <w:ind w:left="720" w:hanging="360"/>
        <w:rPr>
          <w:b w:val="1"/>
          <w:u w:val="none"/>
        </w:rPr>
      </w:pPr>
      <w:r w:rsidDel="00000000" w:rsidR="00000000" w:rsidRPr="00000000">
        <w:rPr>
          <w:b w:val="1"/>
          <w:rtl w:val="0"/>
        </w:rPr>
        <w:t xml:space="preserve">Beethoven</w:t>
      </w:r>
    </w:p>
    <w:p w:rsidR="00000000" w:rsidDel="00000000" w:rsidP="00000000" w:rsidRDefault="00000000" w:rsidRPr="00000000" w14:paraId="00000016">
      <w:pPr>
        <w:ind w:left="720" w:firstLine="0"/>
        <w:rPr/>
      </w:pPr>
      <w:r w:rsidDel="00000000" w:rsidR="00000000" w:rsidRPr="00000000">
        <w:rPr>
          <w:rtl w:val="0"/>
        </w:rPr>
        <w:t xml:space="preserve">Two Piano Sonatas, Op. 49 (“Leichte Sonaten”)</w:t>
      </w:r>
    </w:p>
    <w:p w:rsidR="00000000" w:rsidDel="00000000" w:rsidP="00000000" w:rsidRDefault="00000000" w:rsidRPr="00000000" w14:paraId="00000017">
      <w:pPr>
        <w:ind w:firstLine="720"/>
        <w:rPr/>
      </w:pPr>
      <w:r w:rsidDel="00000000" w:rsidR="00000000" w:rsidRPr="00000000">
        <w:rPr>
          <w:rtl w:val="0"/>
        </w:rPr>
        <w:t xml:space="preserve">Piano Sonata in G, Op. 79 (“Sonatine”)</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numPr>
          <w:ilvl w:val="0"/>
          <w:numId w:val="5"/>
        </w:numPr>
        <w:ind w:left="720" w:hanging="360"/>
        <w:rPr>
          <w:b w:val="1"/>
        </w:rPr>
      </w:pPr>
      <w:r w:rsidDel="00000000" w:rsidR="00000000" w:rsidRPr="00000000">
        <w:rPr>
          <w:b w:val="1"/>
          <w:rtl w:val="0"/>
        </w:rPr>
        <w:t xml:space="preserve">Schumann</w:t>
      </w:r>
    </w:p>
    <w:p w:rsidR="00000000" w:rsidDel="00000000" w:rsidP="00000000" w:rsidRDefault="00000000" w:rsidRPr="00000000" w14:paraId="0000001A">
      <w:pPr>
        <w:ind w:left="720" w:firstLine="0"/>
        <w:rPr/>
      </w:pPr>
      <w:r w:rsidDel="00000000" w:rsidR="00000000" w:rsidRPr="00000000">
        <w:rPr>
          <w:rtl w:val="0"/>
        </w:rPr>
        <w:t xml:space="preserve">Three Piano Sonatas for the Young, Op. 118</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If you have questions or are unsure about repertoire requirements, please contact one of the Festival co-chairs.</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